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9300BE">
        <w:rPr>
          <w:rFonts w:ascii="Arial" w:hAnsi="Arial" w:cs="Arial"/>
          <w:b w:val="0"/>
          <w:sz w:val="36"/>
          <w:szCs w:val="36"/>
        </w:rPr>
        <w:t xml:space="preserve">Narrowband LTE </w:t>
      </w:r>
      <w:r w:rsidR="00F25FBB">
        <w:rPr>
          <w:rFonts w:ascii="Arial" w:hAnsi="Arial" w:cs="Arial"/>
          <w:b w:val="0"/>
          <w:sz w:val="36"/>
          <w:szCs w:val="36"/>
        </w:rPr>
        <w:t xml:space="preserve">Introduction </w:t>
      </w:r>
      <w:r w:rsidR="008C0300">
        <w:rPr>
          <w:rFonts w:ascii="Arial" w:hAnsi="Arial" w:cs="Arial"/>
          <w:b w:val="0"/>
          <w:sz w:val="36"/>
          <w:szCs w:val="36"/>
        </w:rPr>
        <w:t>(U</w:t>
      </w:r>
      <w:bookmarkStart w:id="0" w:name="_GoBack"/>
      <w:bookmarkEnd w:id="0"/>
      <w:r w:rsidR="008C0300">
        <w:rPr>
          <w:rFonts w:ascii="Arial" w:hAnsi="Arial" w:cs="Arial"/>
          <w:b w:val="0"/>
          <w:sz w:val="36"/>
          <w:szCs w:val="36"/>
        </w:rPr>
        <w:t>pdate of GP150790)</w:t>
      </w:r>
    </w:p>
    <w:p w:rsidR="00EB4464" w:rsidRPr="00EB4464" w:rsidRDefault="00EB4464" w:rsidP="00EB4464">
      <w:pPr>
        <w:pStyle w:val="Heading1"/>
      </w:pPr>
      <w:bookmarkStart w:id="1" w:name="_Ref177802497"/>
      <w:r>
        <w:t>1</w:t>
      </w:r>
      <w:r>
        <w:tab/>
      </w:r>
      <w:r w:rsidRPr="00EB4464">
        <w:t>Introduction</w:t>
      </w:r>
      <w:bookmarkEnd w:id="1"/>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EA46BC">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w:t>
      </w:r>
      <w:r w:rsidR="00D305AB">
        <w:t>, a new system design, i.e., NB-</w:t>
      </w:r>
      <w:r>
        <w:t>LTE, based on the current LTE system but use only</w:t>
      </w:r>
      <w:r w:rsidR="005F61C0">
        <w:t xml:space="preserve"> 200 </w:t>
      </w:r>
      <w:r w:rsidR="00C2354C">
        <w:t>k</w:t>
      </w:r>
      <w:r w:rsidR="005F61C0">
        <w:t xml:space="preserve">Hz </w:t>
      </w:r>
      <w:r w:rsidR="009300BE">
        <w:t xml:space="preserve">bandwidth is proposed in </w:t>
      </w:r>
      <w:r w:rsidR="009300BE" w:rsidRPr="009300BE">
        <w:t>GP-150779</w:t>
      </w:r>
      <w:r w:rsidR="005F61C0">
        <w:t xml:space="preserve">. </w:t>
      </w:r>
    </w:p>
    <w:p w:rsidR="00EB4464" w:rsidRDefault="00EB4464" w:rsidP="00EB4464">
      <w:pPr>
        <w:pStyle w:val="Heading2"/>
      </w:pPr>
      <w:r>
        <w:t>1.3</w:t>
      </w:r>
      <w:r>
        <w:tab/>
        <w:t>Summary of change</w:t>
      </w:r>
    </w:p>
    <w:p w:rsidR="00957EA5" w:rsidRPr="00F16AC5" w:rsidRDefault="00282503" w:rsidP="00F16AC5">
      <w:proofErr w:type="gramStart"/>
      <w:r>
        <w:t xml:space="preserve">The </w:t>
      </w:r>
      <w:r w:rsidR="005F61C0">
        <w:t>introduction text of NB LTE design</w:t>
      </w:r>
      <w:r w:rsidR="004A705F">
        <w:t>.</w:t>
      </w:r>
      <w:proofErr w:type="gramEnd"/>
      <w:r w:rsidR="004A705F">
        <w:t xml:space="preserve"> The</w:t>
      </w:r>
      <w:r w:rsidR="004A705F">
        <w:rPr>
          <w:rFonts w:hint="eastAsia"/>
          <w:lang w:eastAsia="zh-CN"/>
        </w:rPr>
        <w:t xml:space="preserve"> </w:t>
      </w:r>
      <w:r w:rsidR="00E6013E">
        <w:t xml:space="preserve">updated text is </w:t>
      </w:r>
      <w:r w:rsidR="009E3DCA">
        <w:t>highlighted</w:t>
      </w:r>
      <w:r w:rsidR="00E6013E">
        <w:t xml:space="preserve"> as </w:t>
      </w:r>
      <w:r w:rsidR="00E6013E" w:rsidRPr="009E3DCA">
        <w:rPr>
          <w:color w:val="365F91" w:themeColor="accent1" w:themeShade="BF"/>
          <w:highlight w:val="yellow"/>
        </w:rPr>
        <w:t>blue</w:t>
      </w:r>
      <w:r w:rsidR="00E6013E">
        <w:t>.</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5F61C0" w:rsidRDefault="005F61C0" w:rsidP="005F61C0">
      <w:pPr>
        <w:pStyle w:val="Heading1"/>
      </w:pPr>
      <w:r w:rsidRPr="005F61C0">
        <w:t>7.</w:t>
      </w:r>
      <w:r>
        <w:t>4</w:t>
      </w:r>
      <w:r w:rsidRPr="005F61C0">
        <w:tab/>
        <w:t xml:space="preserve">Narrow Band </w:t>
      </w:r>
      <w:r>
        <w:t>LTE (NB-LTE</w:t>
      </w:r>
      <w:r w:rsidRPr="005F61C0">
        <w:t>)</w:t>
      </w:r>
    </w:p>
    <w:p w:rsidR="005F61C0" w:rsidRDefault="005F61C0" w:rsidP="005F61C0">
      <w:pPr>
        <w:pStyle w:val="Heading2"/>
      </w:pPr>
      <w:r>
        <w:t>7.</w:t>
      </w:r>
      <w:r w:rsidR="00AA1FFA">
        <w:t>4</w:t>
      </w:r>
      <w:r>
        <w:t>.1</w:t>
      </w:r>
      <w:r>
        <w:tab/>
        <w:t>General</w:t>
      </w:r>
    </w:p>
    <w:p w:rsidR="009E3DCA" w:rsidRDefault="009E3DCA" w:rsidP="009E3DCA">
      <w:pPr>
        <w:jc w:val="both"/>
        <w:rPr>
          <w:ins w:id="2" w:author="Yutao Sui" w:date="2015-08-09T17:40:00Z"/>
        </w:rPr>
      </w:pPr>
      <w:ins w:id="3" w:author="Yutao Sui" w:date="2015-08-09T17:40:00Z">
        <w:r>
          <w:t xml:space="preserve">Narrowband LTE (NB-LTE) has a great degree of synergy with LTE. The entire system occupies only one LTE Physical Resource Block (PRB) and is operable within 200 kHz bandwidth. The downlink is based on orthogonal frequency division multiple access (OFDMA) and has the same subcarrier spacing, OFDM symbol duration, slot format, slot duration, and </w:t>
        </w:r>
        <w:proofErr w:type="spellStart"/>
        <w:r>
          <w:t>subframe</w:t>
        </w:r>
        <w:proofErr w:type="spellEnd"/>
        <w:r>
          <w:t xml:space="preserve"> duration as LTE. </w:t>
        </w:r>
      </w:ins>
    </w:p>
    <w:p w:rsidR="009E3DCA" w:rsidRPr="008C0300" w:rsidRDefault="009E3DCA" w:rsidP="009E3DCA">
      <w:pPr>
        <w:jc w:val="both"/>
        <w:rPr>
          <w:ins w:id="4" w:author="Yutao Sui" w:date="2015-08-09T17:40:00Z"/>
          <w:color w:val="365F91" w:themeColor="accent1" w:themeShade="BF"/>
        </w:rPr>
      </w:pPr>
      <w:ins w:id="5" w:author="Yutao Sui" w:date="2015-08-09T17:40:00Z">
        <w:r w:rsidRPr="009E3DCA">
          <w:rPr>
            <w:color w:val="365F91" w:themeColor="accent1" w:themeShade="BF"/>
            <w:highlight w:val="yellow"/>
          </w:rPr>
          <w:t xml:space="preserve">Similar to LTE, uplink is based on SC-FDMA including single-tone transmission per UE as a special case of SC-FDMA. In addition, </w:t>
        </w:r>
        <w:r w:rsidRPr="009E3DCA">
          <w:rPr>
            <w:color w:val="365F91" w:themeColor="accent1" w:themeShade="BF"/>
            <w:highlight w:val="yellow"/>
            <w:lang w:eastAsia="ko-KR"/>
          </w:rPr>
          <w:t>PAPR reduction techniques are considered for multi-tone transmission</w:t>
        </w:r>
        <w:r w:rsidRPr="009E3DCA">
          <w:rPr>
            <w:color w:val="365F91" w:themeColor="accent1" w:themeShade="BF"/>
            <w:highlight w:val="yellow"/>
          </w:rPr>
          <w:t xml:space="preserve">. Furthermore, the subcarrier spacing is 2.5 kHz, which is one sixth of the LTE subcarrier spacing. As a result, OFDM symbol duration, slot duration, and </w:t>
        </w:r>
        <w:proofErr w:type="spellStart"/>
        <w:r w:rsidRPr="009E3DCA">
          <w:rPr>
            <w:color w:val="365F91" w:themeColor="accent1" w:themeShade="BF"/>
            <w:highlight w:val="yellow"/>
          </w:rPr>
          <w:t>subframe</w:t>
        </w:r>
        <w:proofErr w:type="spellEnd"/>
        <w:r w:rsidRPr="009E3DCA">
          <w:rPr>
            <w:color w:val="365F91" w:themeColor="accent1" w:themeShade="BF"/>
            <w:highlight w:val="yellow"/>
          </w:rPr>
          <w:t xml:space="preserve"> duration are all 6 times of the LTE counterparts. The uplink system bandwidth is also 200 kHz, with a total transmission bandwidth of 180 kHz. NB-LTE can be used for replacing a GSM carrier for </w:t>
        </w:r>
        <w:proofErr w:type="spellStart"/>
        <w:r w:rsidRPr="009E3DCA">
          <w:rPr>
            <w:color w:val="365F91" w:themeColor="accent1" w:themeShade="BF"/>
            <w:highlight w:val="yellow"/>
          </w:rPr>
          <w:t>CIoT</w:t>
        </w:r>
        <w:proofErr w:type="spellEnd"/>
        <w:r w:rsidRPr="009E3DCA">
          <w:rPr>
            <w:color w:val="365F91" w:themeColor="accent1" w:themeShade="BF"/>
            <w:highlight w:val="yellow"/>
          </w:rPr>
          <w:t xml:space="preserve"> applications. Additionally, NB-LTE may be deployed inside a regular LTE carrier. For “LTE </w:t>
        </w:r>
        <w:proofErr w:type="spellStart"/>
        <w:r w:rsidRPr="009E3DCA">
          <w:rPr>
            <w:color w:val="365F91" w:themeColor="accent1" w:themeShade="BF"/>
            <w:highlight w:val="yellow"/>
          </w:rPr>
          <w:t>inband</w:t>
        </w:r>
        <w:proofErr w:type="spellEnd"/>
        <w:r w:rsidRPr="009E3DCA">
          <w:rPr>
            <w:color w:val="365F91" w:themeColor="accent1" w:themeShade="BF"/>
            <w:highlight w:val="yellow"/>
          </w:rPr>
          <w:t>” deployment, NB-LTE maintains downlink orthogonality with the mobile broadband (MBB) traffic and compatibility with legacy LTE. It inherits most of the embodiments of LTE MTC enhancements in Release 12 and 13, e.g. Power Save Mode (PSM), extended DRX (</w:t>
        </w:r>
        <w:proofErr w:type="spellStart"/>
        <w:r w:rsidRPr="009E3DCA">
          <w:rPr>
            <w:color w:val="365F91" w:themeColor="accent1" w:themeShade="BF"/>
            <w:highlight w:val="yellow"/>
          </w:rPr>
          <w:t>eDRX</w:t>
        </w:r>
        <w:proofErr w:type="spellEnd"/>
        <w:r w:rsidRPr="009E3DCA">
          <w:rPr>
            <w:color w:val="365F91" w:themeColor="accent1" w:themeShade="BF"/>
            <w:highlight w:val="yellow"/>
          </w:rPr>
          <w:t>) cycle, etc. A deployed LTE or multi-standard base station can be upgraded to NB-LTE features through a software update.</w:t>
        </w:r>
        <w:r w:rsidRPr="008C0300">
          <w:rPr>
            <w:color w:val="365F91" w:themeColor="accent1" w:themeShade="BF"/>
          </w:rPr>
          <w:t xml:space="preserve"> </w:t>
        </w:r>
      </w:ins>
    </w:p>
    <w:p w:rsidR="009E3DCA" w:rsidRDefault="009E3DCA" w:rsidP="009E3DCA">
      <w:pPr>
        <w:jc w:val="both"/>
        <w:rPr>
          <w:ins w:id="6" w:author="Yutao Sui" w:date="2015-08-09T17:40:00Z"/>
        </w:rPr>
      </w:pPr>
      <w:ins w:id="7" w:author="Yutao Sui" w:date="2015-08-09T17:40:00Z">
        <w:r>
          <w:t xml:space="preserve">Further, depending on spectrum and resource availability, multiple narrowband carriers may be defined from the network’s perspective for both DL and UL to facilitate efficient system scalability with increase in the number of </w:t>
        </w:r>
        <w:proofErr w:type="spellStart"/>
        <w:r>
          <w:t>CIoT</w:t>
        </w:r>
        <w:proofErr w:type="spellEnd"/>
        <w:r>
          <w:t xml:space="preserve"> devices. Cross-narrowband scheduling can be considered as well. Such system deployments with multiple narrowband carriers can also benefit from frequency diversity gains with possible UE retuning from one narrowband to another.</w:t>
        </w:r>
      </w:ins>
    </w:p>
    <w:p w:rsidR="009E3DCA" w:rsidRDefault="009E3DCA" w:rsidP="009E3DCA">
      <w:pPr>
        <w:jc w:val="both"/>
        <w:rPr>
          <w:ins w:id="8" w:author="Yutao Sui" w:date="2015-08-09T17:40:00Z"/>
        </w:rPr>
      </w:pPr>
      <w:ins w:id="9" w:author="Yutao Sui" w:date="2015-08-09T17:40:00Z">
        <w:r>
          <w:t xml:space="preserve">NB-LTE offers flexibility in terms of data rate, sufficient to cover a wide range of </w:t>
        </w:r>
        <w:proofErr w:type="spellStart"/>
        <w:r>
          <w:t>IoT</w:t>
        </w:r>
        <w:proofErr w:type="spellEnd"/>
        <w:r>
          <w:t xml:space="preserve"> use cases. </w:t>
        </w:r>
      </w:ins>
    </w:p>
    <w:p w:rsidR="009E3DCA" w:rsidRDefault="009E3DCA" w:rsidP="009E3DCA">
      <w:pPr>
        <w:jc w:val="both"/>
        <w:rPr>
          <w:ins w:id="10" w:author="Yutao Sui" w:date="2015-08-09T17:40:00Z"/>
        </w:rPr>
      </w:pPr>
      <w:ins w:id="11" w:author="Yutao Sui" w:date="2015-08-09T17:40:00Z">
        <w:r>
          <w:t xml:space="preserve">In addition to having high synergy with the LTE physical layer, NB-LTE can reuse the higher layer designs of LTE to a very large extent. </w:t>
        </w:r>
      </w:ins>
    </w:p>
    <w:p w:rsidR="009E3DCA" w:rsidRDefault="009E3DCA" w:rsidP="009E3DCA">
      <w:pPr>
        <w:jc w:val="both"/>
        <w:rPr>
          <w:ins w:id="12" w:author="Yutao Sui" w:date="2015-08-09T17:40:00Z"/>
        </w:rPr>
      </w:pPr>
      <w:ins w:id="13" w:author="Yutao Sui" w:date="2015-08-09T17:40:00Z">
        <w:r>
          <w:lastRenderedPageBreak/>
          <w:t xml:space="preserve">NB-LTE aims to maximize the re-use of LTE physical layer principles such as its DL numerology and the multiple access schemes. The coding, modulation, and rate matching framework already established in LTE is reused. </w:t>
        </w:r>
      </w:ins>
    </w:p>
    <w:p w:rsidR="009E3DCA" w:rsidRDefault="009E3DCA" w:rsidP="009E3DCA">
      <w:pPr>
        <w:jc w:val="both"/>
        <w:rPr>
          <w:ins w:id="14" w:author="Yutao Sui" w:date="2015-08-09T17:40:00Z"/>
        </w:rPr>
      </w:pPr>
      <w:ins w:id="15" w:author="Yutao Sui" w:date="2015-08-09T17:40:00Z">
        <w:r>
          <w:t xml:space="preserve">Changes to the UL numerology as well as to the PSS/SSS and PRACH structure are needed, while aiming also here for commonality with LTE. For example, like LTE, </w:t>
        </w:r>
        <w:proofErr w:type="spellStart"/>
        <w:r>
          <w:t>Zadoff</w:t>
        </w:r>
        <w:proofErr w:type="spellEnd"/>
        <w:r>
          <w:t xml:space="preserve"> Chu sequences are used for PRACH and the synchronization channels, and cell search is based on the same cell identity grouping method.</w:t>
        </w:r>
      </w:ins>
    </w:p>
    <w:p w:rsidR="009E3DCA" w:rsidRDefault="009E3DCA" w:rsidP="009E3DCA">
      <w:pPr>
        <w:jc w:val="both"/>
        <w:rPr>
          <w:ins w:id="16" w:author="Yutao Sui" w:date="2015-08-09T17:40:00Z"/>
        </w:rPr>
      </w:pPr>
      <w:ins w:id="17" w:author="Yutao Sui" w:date="2015-08-09T17:40:00Z">
        <w:r>
          <w:t>The proposed design maintains key properties of LTE such as tight packing of subcarriers while aiming for enhanced coverage and reduced the device complexity. The latter comes naturally from the reduction of the channel bandwidth and the introduction of a longer M-</w:t>
        </w:r>
        <w:proofErr w:type="spellStart"/>
        <w:r>
          <w:t>subframe</w:t>
        </w:r>
        <w:proofErr w:type="spellEnd"/>
        <w:r>
          <w:t xml:space="preserve"> as well as inter-</w:t>
        </w:r>
        <w:proofErr w:type="spellStart"/>
        <w:r>
          <w:t>subframe</w:t>
        </w:r>
        <w:proofErr w:type="spellEnd"/>
        <w:r>
          <w:t xml:space="preserve"> scheduling. </w:t>
        </w:r>
      </w:ins>
    </w:p>
    <w:p w:rsidR="009E3DCA" w:rsidRPr="009E3DCA" w:rsidRDefault="009E3DCA" w:rsidP="009E3DCA">
      <w:pPr>
        <w:jc w:val="both"/>
        <w:rPr>
          <w:ins w:id="18" w:author="Yutao Sui" w:date="2015-08-09T17:40:00Z"/>
          <w:color w:val="365F91" w:themeColor="accent1" w:themeShade="BF"/>
        </w:rPr>
      </w:pPr>
      <w:ins w:id="19" w:author="Yutao Sui" w:date="2015-08-09T17:40:00Z">
        <w:r w:rsidRPr="009E3DCA">
          <w:rPr>
            <w:color w:val="365F91" w:themeColor="accent1" w:themeShade="BF"/>
            <w:highlight w:val="yellow"/>
          </w:rPr>
          <w:t>The concept description is provided to show feasibility against the study item objectives, and could be seen as a baseline for further discussion and optimization in a potential work item phase. Simple design as well as synergy and compatibility with LTE are important optimization criteria.</w:t>
        </w:r>
      </w:ins>
    </w:p>
    <w:p w:rsidR="00916DA9" w:rsidRPr="00270C20" w:rsidRDefault="00916DA9" w:rsidP="00916DA9">
      <w:pPr>
        <w:pStyle w:val="BodyText"/>
      </w:pPr>
    </w:p>
    <w:sectPr w:rsidR="00916DA9" w:rsidRPr="00270C20" w:rsidSect="00FB4A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6A5" w:rsidRDefault="00F226A5">
      <w:r>
        <w:separator/>
      </w:r>
    </w:p>
  </w:endnote>
  <w:endnote w:type="continuationSeparator" w:id="0">
    <w:p w:rsidR="00F226A5" w:rsidRDefault="00F2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6A5" w:rsidRDefault="00F226A5">
      <w:r>
        <w:separator/>
      </w:r>
    </w:p>
  </w:footnote>
  <w:footnote w:type="continuationSeparator" w:id="0">
    <w:p w:rsidR="00F226A5" w:rsidRDefault="00F22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F82A5C" w:rsidRPr="00F82A5C">
      <w:rPr>
        <w:lang w:val="es-ES"/>
      </w:rPr>
      <w:t>GP-150877</w:t>
    </w:r>
  </w:p>
  <w:p w:rsidR="00916DA9" w:rsidRDefault="00916DA9" w:rsidP="00691819">
    <w:pPr>
      <w:pStyle w:val="Header"/>
      <w:rPr>
        <w:lang w:val="es-ES"/>
      </w:rPr>
    </w:pPr>
    <w:r>
      <w:rPr>
        <w:lang w:val="es-ES"/>
      </w:rPr>
      <w:t>Yinchuan, China</w:t>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t xml:space="preserve">  </w:t>
    </w:r>
    <w:r w:rsidR="009300BE">
      <w:rPr>
        <w:lang w:val="es-ES"/>
      </w:rPr>
      <w:tab/>
    </w:r>
    <w:r>
      <w:rPr>
        <w:lang w:val="es-ES"/>
      </w:rPr>
      <w:tab/>
      <w:t xml:space="preserve">   </w:t>
    </w:r>
    <w:r w:rsidRPr="00FD4A3C">
      <w:rPr>
        <w:lang w:val="es-ES"/>
      </w:rPr>
      <w:t xml:space="preserve">Agenda item </w:t>
    </w:r>
    <w:r w:rsidR="009300BE" w:rsidRPr="009300BE">
      <w:rPr>
        <w:lang w:val="es-ES"/>
      </w:rPr>
      <w:t>7.1.5.3.5.7, 7.2.5.3.4.7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 xml:space="preserve">Source: </w:t>
    </w:r>
    <w:r w:rsidR="005F74B5" w:rsidRPr="005F74B5">
      <w:t>Ericsson LM, Nokia Networks</w:t>
    </w:r>
    <w:r w:rsidR="00FB0483">
      <w:t>, Samsung</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6E8"/>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1136"/>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251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126E"/>
    <w:rsid w:val="00153528"/>
    <w:rsid w:val="00153811"/>
    <w:rsid w:val="00155F9A"/>
    <w:rsid w:val="00156E9C"/>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1FD6"/>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B0D"/>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3F5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3DB3"/>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5CFB"/>
    <w:rsid w:val="004762CA"/>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145A"/>
    <w:rsid w:val="004A1CB1"/>
    <w:rsid w:val="004A1CCA"/>
    <w:rsid w:val="004A1ED2"/>
    <w:rsid w:val="004A2886"/>
    <w:rsid w:val="004A2D9C"/>
    <w:rsid w:val="004A3909"/>
    <w:rsid w:val="004A513D"/>
    <w:rsid w:val="004A5417"/>
    <w:rsid w:val="004A5B17"/>
    <w:rsid w:val="004A705F"/>
    <w:rsid w:val="004A7641"/>
    <w:rsid w:val="004A76B2"/>
    <w:rsid w:val="004A7B31"/>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DDD"/>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465C"/>
    <w:rsid w:val="005F485B"/>
    <w:rsid w:val="005F61C0"/>
    <w:rsid w:val="005F74B5"/>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73B"/>
    <w:rsid w:val="00630BAA"/>
    <w:rsid w:val="00631FBA"/>
    <w:rsid w:val="00632DAF"/>
    <w:rsid w:val="006361DE"/>
    <w:rsid w:val="0064040A"/>
    <w:rsid w:val="00640F13"/>
    <w:rsid w:val="00642388"/>
    <w:rsid w:val="00642AE7"/>
    <w:rsid w:val="00646688"/>
    <w:rsid w:val="00650A8C"/>
    <w:rsid w:val="00652611"/>
    <w:rsid w:val="00652CEB"/>
    <w:rsid w:val="00652D2E"/>
    <w:rsid w:val="006555F3"/>
    <w:rsid w:val="00660A43"/>
    <w:rsid w:val="00661FCA"/>
    <w:rsid w:val="006655D5"/>
    <w:rsid w:val="006665C7"/>
    <w:rsid w:val="0067121A"/>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5B3"/>
    <w:rsid w:val="006E5AA8"/>
    <w:rsid w:val="006E5B82"/>
    <w:rsid w:val="006E5FF2"/>
    <w:rsid w:val="006E617E"/>
    <w:rsid w:val="006F0388"/>
    <w:rsid w:val="006F07D0"/>
    <w:rsid w:val="006F2DFC"/>
    <w:rsid w:val="006F4CF2"/>
    <w:rsid w:val="006F5260"/>
    <w:rsid w:val="007004B0"/>
    <w:rsid w:val="00701417"/>
    <w:rsid w:val="0070143B"/>
    <w:rsid w:val="00701A41"/>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2533"/>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16611"/>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13C1"/>
    <w:rsid w:val="008B1CDB"/>
    <w:rsid w:val="008B24C7"/>
    <w:rsid w:val="008B4E32"/>
    <w:rsid w:val="008B606F"/>
    <w:rsid w:val="008B6C73"/>
    <w:rsid w:val="008B7B4A"/>
    <w:rsid w:val="008C0300"/>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09AE"/>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00BE"/>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DCA"/>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4731"/>
    <w:rsid w:val="00B1613F"/>
    <w:rsid w:val="00B24104"/>
    <w:rsid w:val="00B24D6A"/>
    <w:rsid w:val="00B25A01"/>
    <w:rsid w:val="00B26FEC"/>
    <w:rsid w:val="00B30118"/>
    <w:rsid w:val="00B30BB7"/>
    <w:rsid w:val="00B312B7"/>
    <w:rsid w:val="00B32757"/>
    <w:rsid w:val="00B33AD4"/>
    <w:rsid w:val="00B36259"/>
    <w:rsid w:val="00B362E9"/>
    <w:rsid w:val="00B37ADA"/>
    <w:rsid w:val="00B37BAE"/>
    <w:rsid w:val="00B40E3E"/>
    <w:rsid w:val="00B43856"/>
    <w:rsid w:val="00B43EE0"/>
    <w:rsid w:val="00B44111"/>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22B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54C"/>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275"/>
    <w:rsid w:val="00C8296D"/>
    <w:rsid w:val="00C85F3A"/>
    <w:rsid w:val="00C87B19"/>
    <w:rsid w:val="00C87BDB"/>
    <w:rsid w:val="00C87C0F"/>
    <w:rsid w:val="00C9160A"/>
    <w:rsid w:val="00C94CC7"/>
    <w:rsid w:val="00C95366"/>
    <w:rsid w:val="00C96CD9"/>
    <w:rsid w:val="00CA3797"/>
    <w:rsid w:val="00CA39B3"/>
    <w:rsid w:val="00CA595A"/>
    <w:rsid w:val="00CA6411"/>
    <w:rsid w:val="00CB0A35"/>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5AB"/>
    <w:rsid w:val="00D309DF"/>
    <w:rsid w:val="00D33506"/>
    <w:rsid w:val="00D34DD4"/>
    <w:rsid w:val="00D35D08"/>
    <w:rsid w:val="00D3607F"/>
    <w:rsid w:val="00D3609E"/>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13E"/>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6BC"/>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26A5"/>
    <w:rsid w:val="00F232B7"/>
    <w:rsid w:val="00F24C7F"/>
    <w:rsid w:val="00F25F08"/>
    <w:rsid w:val="00F25FBB"/>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2A5C"/>
    <w:rsid w:val="00F84324"/>
    <w:rsid w:val="00F84FC7"/>
    <w:rsid w:val="00F8737C"/>
    <w:rsid w:val="00F87B41"/>
    <w:rsid w:val="00F87F9A"/>
    <w:rsid w:val="00F9079E"/>
    <w:rsid w:val="00F929DA"/>
    <w:rsid w:val="00F92A61"/>
    <w:rsid w:val="00F94E93"/>
    <w:rsid w:val="00F95B88"/>
    <w:rsid w:val="00F967E3"/>
    <w:rsid w:val="00F96B89"/>
    <w:rsid w:val="00FA2D8F"/>
    <w:rsid w:val="00FA2F42"/>
    <w:rsid w:val="00FA44E5"/>
    <w:rsid w:val="00FA7895"/>
    <w:rsid w:val="00FA7FAA"/>
    <w:rsid w:val="00FB0483"/>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D5ECB"/>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CEDE7-3087-44BC-877E-C97782890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627</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3947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5</cp:revision>
  <dcterms:created xsi:type="dcterms:W3CDTF">2015-08-09T15:38:00Z</dcterms:created>
  <dcterms:modified xsi:type="dcterms:W3CDTF">2015-08-10T00:55:00Z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